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31313" w:themeColor="dark1"/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72"/>
        <w:gridCol w:w="5272"/>
      </w:tblGrid>
      <w:tr>
        <w:tc>
          <w:tcPr>
            <w:tcW w:type="dxa" w:w="5272"/>
            <w:shd w:fill="0D1118" w:val="clear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r>
              <w:rPr>
                <w:b/>
                <w:color w:val="00DAF3"/>
                <w:sz w:val="22"/>
              </w:rPr>
              <w:t>TECH MAN DAN</w:t>
            </w:r>
          </w:p>
        </w:tc>
        <w:tc>
          <w:tcPr>
            <w:tcW w:type="dxa" w:w="5272"/>
            <w:shd w:fill="0D1118" w:val="clear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right"/>
            </w:pPr>
            <w:r>
              <w:rPr>
                <w:color w:val="C3C6D4"/>
                <w:sz w:val="16"/>
              </w:rPr>
              <w:t>Azure Solution Architect / Consultant</w:t>
            </w:r>
          </w:p>
        </w:tc>
      </w:tr>
    </w:tbl>
    <w:p>
      <w:pPr>
        <w:spacing w:before="80" w:after="80"/>
      </w:pP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72"/>
        <w:gridCol w:w="5272"/>
      </w:tblGrid>
      <w:tr>
        <w:tc>
          <w:tcPr>
            <w:tcW w:type="dxa" w:w="5272"/>
            <w:tcW w:w="7371" w:type="dxa"/>
            <w:shd w:fill="201F1F" w:val="clear"/>
            <w:tcMar>
              <w:top w:w="120" w:type="dxa"/>
              <w:bottom w:w="120" w:type="dxa"/>
              <w:start w:w="120" w:type="dxa"/>
              <w:end w:w="120" w:type="dxa"/>
            </w:tcMar>
            <w:vAlign w:val="center"/>
          </w:tcPr>
          <w:p>
            <w:pPr>
              <w:spacing w:after="40"/>
            </w:pPr>
            <w:r>
              <w:rPr>
                <w:b/>
                <w:color w:val="E5E2E1"/>
                <w:sz w:val="48"/>
              </w:rPr>
              <w:t>Daniel Inman</w:t>
            </w:r>
          </w:p>
          <w:p>
            <w:pPr>
              <w:spacing w:before="0" w:after="80"/>
            </w:pPr>
            <w:r>
              <w:rPr>
                <w:b/>
                <w:color w:val="00DAF3"/>
                <w:sz w:val="24"/>
              </w:rPr>
              <w:t>Azure Solution Architect / Consultant</w:t>
            </w:r>
          </w:p>
          <w:p>
            <w:pPr>
              <w:spacing w:before="40" w:after="8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──────────────────────────────────────────────────────────────</w:t>
            </w:r>
          </w:p>
          <w:p>
            <w:pPr>
              <w:spacing w:before="0" w:after="20"/>
            </w:pPr>
            <w:r>
              <w:rPr>
                <w:color w:val="C3C6D4"/>
                <w:sz w:val="17"/>
              </w:rPr>
              <w:t>Northampton/UK</w:t>
            </w:r>
            <w:r>
              <w:rPr>
                <w:color w:val="C3C6D4"/>
                <w:sz w:val="17"/>
              </w:rPr>
              <w:t xml:space="preserve"> | </w:t>
            </w:r>
            <w:r>
              <w:rPr>
                <w:color w:val="C3C6D4"/>
                <w:sz w:val="17"/>
              </w:rPr>
              <w:t>07799796593</w:t>
            </w:r>
          </w:p>
          <w:p>
            <w:pPr>
              <w:spacing w:before="0" w:after="40"/>
            </w:pPr>
            <w:hyperlink r:id="rId9">
              <w:r>
                <w:rPr>
                  <w:color w:val="94CCFF"/>
                  <w:u w:val="none"/>
                  <w:sz w:val="17"/>
                </w:rPr>
                <w:t>dan.inman@hotmail.co.uk</w:t>
              </w:r>
            </w:hyperlink>
            <w:r>
              <w:rPr>
                <w:color w:val="C3C6D4"/>
                <w:sz w:val="17"/>
              </w:rPr>
              <w:t xml:space="preserve"> | </w:t>
            </w:r>
            <w:hyperlink r:id="rId10">
              <w:r>
                <w:rPr>
                  <w:color w:val="94CCFF"/>
                  <w:u w:val="none"/>
                  <w:sz w:val="17"/>
                </w:rPr>
                <w:t>www.linkedin.com/in/tech-man-dan</w:t>
              </w:r>
            </w:hyperlink>
          </w:p>
          <w:p>
            <w:pPr>
              <w:spacing w:before="40" w:after="0"/>
              <w:jc w:val="right"/>
            </w:pPr>
            <w:r>
              <w:rPr>
                <w:b/>
                <w:color w:val="94CCFF"/>
                <w:sz w:val="17"/>
              </w:rPr>
              <w:t>Microsoft Cloud Ecosystem Specialist</w:t>
            </w:r>
          </w:p>
        </w:tc>
        <w:tc>
          <w:tcPr>
            <w:tcW w:type="dxa" w:w="5272"/>
            <w:tcW w:w="2835" w:type="dxa"/>
            <w:shd w:fill="201F1F" w:val="clear"/>
            <w:tcMar>
              <w:top w:w="120" w:type="dxa"/>
              <w:bottom w:w="120" w:type="dxa"/>
              <w:start w:w="120" w:type="dxa"/>
              <w:end w:w="120" w:type="dxa"/>
            </w:tcMar>
            <w:vAlign w:val="center"/>
            <w:shd w:fill="171B24" w:val="clear"/>
          </w:tcPr>
          <w:p>
            <w:pPr>
              <w:spacing w:after="8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126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792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mark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8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jc w:val="center"/>
        <w:tblCellSpacing w:w="0" w:type="dxa"/>
        <w:tblW w:w="10546" w:type="dxa"/>
        <w:tblInd w:w="0" w:type="dxa"/>
      </w:tblPr>
      <w:tblGrid>
        <w:gridCol w:w="5272"/>
        <w:gridCol w:w="5272"/>
      </w:tblGrid>
      <w:tr>
        <w:tc>
          <w:tcPr>
            <w:tcW w:type="dxa" w:w="5272"/>
            <w:tcW w:w="3515" w:type="dxa"/>
            <w:shd w:fill="131313" w:val="clear"/>
            <w:tcMar>
              <w:top w:w="80" w:type="dxa"/>
              <w:bottom w:w="80" w:type="dxa"/>
              <w:start w:w="120" w:type="dxa"/>
              <w:end w:w="80" w:type="dxa"/>
            </w:tcMar>
          </w:tcPr>
          <w:p/>
          <w:p>
            <w:pPr>
              <w:spacing w:before="120" w:after="40"/>
            </w:pPr>
            <w:r>
              <w:rPr>
                <w:b/>
                <w:color w:val="00DAF3"/>
                <w:sz w:val="17"/>
              </w:rPr>
              <w:t>PROFESSIONAL PROFILE</w:t>
            </w:r>
          </w:p>
          <w:p>
            <w:pPr>
              <w:spacing w:before="0" w:after="4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</w:t>
            </w:r>
          </w:p>
          <w:p>
            <w:pPr>
              <w:spacing w:before="0" w:after="80"/>
            </w:pPr>
            <w:r>
              <w:rPr>
                <w:color w:val="C3C6D4"/>
                <w:sz w:val="16"/>
              </w:rPr>
              <w:t>A results-oriented Azure Solutions Architect Expert with a proven track record of designing secure, resilient, and cost-optimized cloud platforms in regulated environments. I translate complex business requirements into production architectures using Microsoft Azure Well-Architected Framework principles across reliability, security, performance efficiency, operational excellence, and cost optimization. I specialize in application modernization, high availability and disaster recovery (BCDR), and enterprise governance for multi-tenant organizations. Certified across Azure, cybersecurity, Microsoft 365, Power Platform, and Dynamics 365, I design integrated Microsoft ecosystem solutions that deliver measurable business outcomes.</w:t>
            </w:r>
          </w:p>
          <w:p>
            <w:pPr>
              <w:spacing w:before="120" w:after="40"/>
            </w:pPr>
            <w:r>
              <w:rPr>
                <w:b/>
                <w:color w:val="00DAF3"/>
                <w:sz w:val="17"/>
              </w:rPr>
              <w:t>KEY SKILLS</w:t>
            </w:r>
          </w:p>
          <w:p>
            <w:pPr>
              <w:spacing w:before="0" w:after="4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</w:t>
            </w:r>
          </w:p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Architecture Patterns and Application Design</w:t>
            </w:r>
            <w:r>
              <w:rPr>
                <w:b/>
                <w:color w:val="94CCFF"/>
                <w:sz w:val="14"/>
              </w:rPr>
              <w:t xml:space="preserve">  95%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962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155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High Availability, Resiliency, and BCDR</w:t>
            </w:r>
            <w:r>
              <w:rPr>
                <w:b/>
                <w:color w:val="94CCFF"/>
                <w:sz w:val="14"/>
              </w:rPr>
              <w:t xml:space="preserve">  93%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900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218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Security Architecture and Governance</w:t>
            </w:r>
            <w:r>
              <w:rPr>
                <w:b/>
                <w:color w:val="94CCFF"/>
                <w:sz w:val="14"/>
              </w:rPr>
              <w:t xml:space="preserve">  95%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962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155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Data and Integration</w:t>
            </w:r>
            <w:r>
              <w:rPr>
                <w:b/>
                <w:color w:val="94CCFF"/>
                <w:sz w:val="14"/>
              </w:rPr>
              <w:t xml:space="preserve">  92%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869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249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DevOps and Infrastructure as Code</w:t>
            </w:r>
            <w:r>
              <w:rPr>
                <w:b/>
                <w:color w:val="94CCFF"/>
                <w:sz w:val="14"/>
              </w:rPr>
              <w:t xml:space="preserve">  90%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806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311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0" w:after="20"/>
            </w:pPr>
            <w:r>
              <w:rPr>
                <w:b/>
                <w:color w:val="E5E2E1"/>
                <w:sz w:val="14"/>
              </w:rPr>
              <w:t>Stakeholder and Enterprise Architecture Leadership</w:t>
            </w:r>
            <w:r>
              <w:rPr>
                <w:b/>
                <w:color w:val="94CCFF"/>
                <w:sz w:val="14"/>
              </w:rPr>
              <w:t xml:space="preserve">  90%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shd w:fill="00DAF3" w:val="clear"/>
                  <w:tcW w:w="2806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  <w:tc>
                <w:tcPr>
                  <w:tcW w:type="dxa" w:w="2636"/>
                  <w:shd w:fill="2A2E3A" w:val="clear"/>
                  <w:tcW w:w="311" w:type="dxa"/>
                  <w:tcMar>
                    <w:top w:w="0" w:type="dxa"/>
                    <w:bottom w:w="0" w:type="dxa"/>
                    <w:start w:w="0" w:type="dxa"/>
                    <w:end w:w="0" w:type="dxa"/>
                  </w:tcMar>
                </w:tcPr>
                <w:p>
                  <w:pPr>
                    <w:spacing w:before="0" w:after="0"/>
                  </w:pPr>
                  <w:r>
                    <w:rPr>
                      <w:sz w:val="6"/>
                    </w:rPr>
                    <w:t xml:space="preserve"> </w:t>
                  </w:r>
                </w:p>
              </w:tc>
            </w:tr>
          </w:tbl>
          <w:p/>
          <w:p>
            <w:pPr>
              <w:spacing w:before="120" w:after="40"/>
            </w:pPr>
            <w:r>
              <w:rPr>
                <w:b/>
                <w:color w:val="00DAF3"/>
                <w:sz w:val="17"/>
              </w:rPr>
              <w:t>MS CERTIFIED</w:t>
            </w:r>
          </w:p>
          <w:p>
            <w:pPr>
              <w:spacing w:before="0" w:after="4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00DAF3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3" name="Picture 3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3"/>
                    </w:rPr>
                    <w:t>EXPERT  AZ-305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Azure Solutions Architect Expert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00DAF3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4" name="Picture 4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3"/>
                    </w:rPr>
                    <w:t>EXPERT  SC-100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Cybersecurity Architect Expert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94CCFF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5" name="Picture 5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94CCFF"/>
                      <w:sz w:val="13"/>
                    </w:rPr>
                    <w:t>ASSOCIATE  AZ-104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Azure Administrator Associate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6" name="Picture 6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AZ-900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Azure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7" name="Picture 7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MS-900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Microsoft 365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8" name="Picture 8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AI-900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Azure AI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9" name="Picture 9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DP-900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Azure Data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10" name="Picture 10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PL-900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Power Platform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11" name="Picture 1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SC-900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Security, Compliance, and Identity Fundamentals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C3C6D4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12" name="Picture 12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C3C6D4"/>
                      <w:sz w:val="13"/>
                    </w:rPr>
                    <w:t>FOUNDATION  MB-910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Dynamics 365 Fundamentals (CRM)</w:t>
                  </w:r>
                </w:p>
              </w:tc>
            </w:tr>
          </w:tbl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>
            <w:tblGrid>
              <w:gridCol w:w="2636"/>
              <w:gridCol w:w="2636"/>
            </w:tblGrid>
            <w:tr>
              <w:tc>
                <w:tcPr>
                  <w:tcW w:type="dxa" w:w="2636"/>
                  <w:tcW w:w="567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  <w:tcBorders>
                    <w:start w:val="single" w:sz="12" w:color="94CCFF" w:space="0"/>
                  </w:tcBorders>
                </w:tcPr>
                <w:p>
                  <w:pPr>
                    <w:spacing w:before="0" w:after="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1999" cy="251999"/>
                        <wp:docPr id="13" name="Picture 13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.pn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99" cy="251999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2636"/>
                  <w:tcW w:w="2721" w:type="dxa"/>
                  <w:shd w:fill="171B24" w:val="clear"/>
                  <w:tcMar>
                    <w:top w:w="10" w:type="dxa"/>
                    <w:bottom w:w="10" w:type="dxa"/>
                    <w:start w:w="20" w:type="dxa"/>
                    <w:end w:w="10" w:type="dxa"/>
                  </w:tcMar>
                  <w:vAlign w:val="center"/>
                </w:tcPr>
                <w:p>
                  <w:pPr>
                    <w:spacing w:before="0" w:after="0"/>
                  </w:pPr>
                  <w:r>
                    <w:rPr>
                      <w:b/>
                      <w:color w:val="94CCFF"/>
                      <w:sz w:val="13"/>
                    </w:rPr>
                    <w:t>ASSOCIATE  SC-300</w:t>
                  </w:r>
                </w:p>
                <w:p>
                  <w:pPr>
                    <w:spacing w:before="0" w:after="0"/>
                  </w:pPr>
                  <w:r>
                    <w:rPr>
                      <w:color w:val="E5E2E1"/>
                      <w:sz w:val="13"/>
                    </w:rPr>
                    <w:t>Identity and Access Administrator Associate</w:t>
                  </w:r>
                </w:p>
              </w:tc>
            </w:tr>
          </w:tbl>
          <w:p/>
          <w:p>
            <w:pPr>
              <w:spacing w:before="120" w:after="40"/>
            </w:pPr>
            <w:r>
              <w:rPr>
                <w:b/>
                <w:color w:val="00DAF3"/>
                <w:sz w:val="17"/>
              </w:rPr>
              <w:t>EDUCATION</w:t>
            </w:r>
          </w:p>
          <w:p>
            <w:pPr>
              <w:spacing w:before="0" w:after="4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</w:t>
            </w:r>
          </w:p>
          <w:p>
            <w:pPr>
              <w:spacing w:before="0" w:after="40"/>
            </w:pPr>
            <w:r>
              <w:rPr>
                <w:color w:val="00DAF3"/>
                <w:sz w:val="14"/>
              </w:rPr>
              <w:t xml:space="preserve">•  </w:t>
            </w:r>
            <w:r>
              <w:rPr>
                <w:color w:val="C3C6D4"/>
                <w:sz w:val="16"/>
              </w:rPr>
              <w:t>BTEC Electronic Engineering | Northampton College | 2011-2013</w:t>
            </w:r>
          </w:p>
        </w:tc>
        <w:tc>
          <w:tcPr>
            <w:tcW w:type="dxa" w:w="5272"/>
            <w:tcW w:w="7030" w:type="dxa"/>
            <w:shd w:fill="131313" w:val="clear"/>
            <w:tcMar>
              <w:top w:w="80" w:type="dxa"/>
              <w:bottom w:w="80" w:type="dxa"/>
              <w:start w:w="40" w:type="dxa"/>
              <w:end w:w="0" w:type="dxa"/>
            </w:tcMar>
          </w:tcPr>
          <w:p>
            <w:pPr>
              <w:spacing w:after="40"/>
            </w:pPr>
            <w:r>
              <w:rPr>
                <w:b/>
                <w:color w:val="00DAF3"/>
                <w:sz w:val="17"/>
              </w:rPr>
              <w:t>STRATEGIC EXPERIENCE</w:t>
            </w:r>
          </w:p>
          <w:p>
            <w:pPr>
              <w:spacing w:before="0" w:after="80"/>
            </w:pPr>
            <w:r>
              <w:rPr>
                <w:color w:val="434652"/>
                <w:sz w:val="8"/>
              </w:rPr>
              <w:t>────────────────────────────────────────────────────────────</w:t>
            </w: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W w:w="5000" w:type="pct"/>
              <w:tblCellSpacing w:w="0" w:type="dxa"/>
              <w:tblInd w:w="0" w:type="dxa"/>
            </w:tblPr>
            <w:tblGrid>
              <w:gridCol w:w="5272"/>
            </w:tblGrid>
            <w:tr>
              <w:tc>
                <w:tcPr>
                  <w:tcW w:type="dxa" w:w="5272"/>
                  <w:shd w:fill="1C1B1B" w:val="clear"/>
                  <w:tcMar>
                    <w:top w:w="60" w:type="dxa"/>
                    <w:bottom w:w="60" w:type="dxa"/>
                    <w:start w:w="80" w:type="dxa"/>
                    <w:end w:w="40" w:type="dxa"/>
                  </w:tcMar>
                  <w:tcBorders>
                    <w:top w:val="single" w:sz="4" w:color="434652" w:space="0"/>
                  </w:tcBorders>
                </w:tcPr>
                <w:p>
                  <w:pPr>
                    <w:spacing w:after="20"/>
                  </w:pPr>
                  <w:r>
                    <w:rPr>
                      <w:b/>
                      <w:color w:val="E5E2E1"/>
                      <w:sz w:val="20"/>
                    </w:rPr>
                    <w:t>Solutions Architect</w:t>
                  </w:r>
                </w:p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7"/>
                    </w:rPr>
                    <w:t>BDO Global</w:t>
                  </w:r>
                </w:p>
                <w:p>
                  <w:pPr>
                    <w:spacing w:before="0" w:after="60"/>
                  </w:pPr>
                  <w:r>
                    <w:rPr>
                      <w:color w:val="C3C6D4"/>
                      <w:sz w:val="15"/>
                    </w:rPr>
                    <w:t>Remote | August 2024 - Present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Application Architecture: Designed a decoupled microservices architecture using Azure Container Apps with Dapr for east-west service communication, alongside API Management (APIM), Azure Service Bus, and Event Grid, migrating business-critical products from Power Platform to a custom .NET and React stack to remove low-code constraints.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High Availability: Engineered a multi-region HA model with Azure Front Door, Traffic Manager, and zone-redundant services to support global user traffic and target 99.99% service availability.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Disaster Recovery: Authored and tested a disaster recovery runbook using Azure Site Recovery and geo-replicated data services, defining failover and failback procedures to achieve an RTO of less than 4 hours and business-agreed RPO targets.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Infrastructure Cost Optimization: Led an Azure estate review and rightsizing program, reducing cloud spend by more than 50% while maintaining performance and reliability SLAs.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Resilient Networking: Designing and implementing a multi-tenant Azure Virtual WAN (vWAN) architecture with Azure Firewall, NSGs, and segmented routing patterns to support secure connectivity and regional failover for sensitive workloads.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DevOps and IaC: Re-engineered Azure DevOps CI/CD pipelines with environment promotion controls and infrastructure-as-code patterns, doubling deployment speed and improving release quality.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Enterprise Governance: Contributed to the global architecture roadmap by establishing multi-tenant security and governance guardrails based on Zero Trust, RBAC, and policy-driven standards.</w:t>
                  </w:r>
                </w:p>
              </w:tc>
            </w:tr>
          </w:tbl>
          <w:p/>
          <w:p>
            <w:pPr>
              <w:spacing w:before="0" w:after="80"/>
            </w:pP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W w:w="5000" w:type="pct"/>
              <w:tblCellSpacing w:w="0" w:type="dxa"/>
              <w:tblInd w:w="0" w:type="dxa"/>
            </w:tblPr>
            <w:tblGrid>
              <w:gridCol w:w="5272"/>
            </w:tblGrid>
            <w:tr>
              <w:tc>
                <w:tcPr>
                  <w:tcW w:type="dxa" w:w="5272"/>
                  <w:shd w:fill="1C1B1B" w:val="clear"/>
                  <w:tcMar>
                    <w:top w:w="60" w:type="dxa"/>
                    <w:bottom w:w="60" w:type="dxa"/>
                    <w:start w:w="80" w:type="dxa"/>
                    <w:end w:w="40" w:type="dxa"/>
                  </w:tcMar>
                  <w:tcBorders>
                    <w:top w:val="single" w:sz="4" w:color="434652" w:space="0"/>
                  </w:tcBorders>
                </w:tcPr>
                <w:p>
                  <w:pPr>
                    <w:spacing w:after="20"/>
                  </w:pPr>
                  <w:r>
                    <w:rPr>
                      <w:b/>
                      <w:color w:val="E5E2E1"/>
                      <w:sz w:val="20"/>
                    </w:rPr>
                    <w:t>Senior Solutions Architect - Cloud - SC Cleared</w:t>
                  </w:r>
                </w:p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7"/>
                    </w:rPr>
                    <w:t>AtkinsRealis</w:t>
                  </w:r>
                </w:p>
                <w:p>
                  <w:pPr>
                    <w:spacing w:before="0" w:after="60"/>
                  </w:pPr>
                  <w:r>
                    <w:rPr>
                      <w:color w:val="C3C6D4"/>
                      <w:sz w:val="15"/>
                    </w:rPr>
                    <w:t>Hybrid, UK Offices | August 2023 - August 2024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Promotion and Leadership: Promoted to Senior Solutions Architect in just over a year, leading architecture decisions for secure public sector workloads under SC-cleared delivery constraints.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Data Architecture: Designed secure, data-centric Azure platforms for MOD and Network Rail using Azure Synapse and Azure Data Factory with private endpoint and Private Link integration.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Resilient Networking: Implemented hub-and-spoke network topologies with Azure Firewall, NSGs, and segmented routing to provide secure, isolated connectivity for sensitive public sector workloads.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Architecture Governance: Facilitated architecture workshops and technical discovery, translating requirements into delivery roadmaps aligned to security, resilience, and compliance outcomes.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Security and Compliance: Defined Microsoft Purview and M365 DLP controls, strengthening data governance and reducing risk exposure across collaboration and data estates.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Team Enablement: Mentored architects and engineers on reference architectures, Well-Architected reviews, and reusable design patterns for public sector delivery.</w:t>
                  </w:r>
                </w:p>
              </w:tc>
            </w:tr>
          </w:tbl>
          <w:p/>
          <w:p>
            <w:pPr>
              <w:spacing w:before="0" w:after="80"/>
            </w:pP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W w:w="5000" w:type="pct"/>
              <w:tblCellSpacing w:w="0" w:type="dxa"/>
              <w:tblInd w:w="0" w:type="dxa"/>
            </w:tblPr>
            <w:tblGrid>
              <w:gridCol w:w="5272"/>
            </w:tblGrid>
            <w:tr>
              <w:tc>
                <w:tcPr>
                  <w:tcW w:type="dxa" w:w="5272"/>
                  <w:shd w:fill="1C1B1B" w:val="clear"/>
                  <w:tcMar>
                    <w:top w:w="60" w:type="dxa"/>
                    <w:bottom w:w="60" w:type="dxa"/>
                    <w:start w:w="80" w:type="dxa"/>
                    <w:end w:w="40" w:type="dxa"/>
                  </w:tcMar>
                  <w:tcBorders>
                    <w:top w:val="single" w:sz="4" w:color="434652" w:space="0"/>
                  </w:tcBorders>
                </w:tcPr>
                <w:p>
                  <w:pPr>
                    <w:spacing w:after="20"/>
                  </w:pPr>
                  <w:r>
                    <w:rPr>
                      <w:b/>
                      <w:color w:val="E5E2E1"/>
                      <w:sz w:val="20"/>
                    </w:rPr>
                    <w:t>Solutions Architect - Cloud - SC Cleared</w:t>
                  </w:r>
                </w:p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7"/>
                    </w:rPr>
                    <w:t>AtkinsRealis</w:t>
                  </w:r>
                </w:p>
                <w:p>
                  <w:pPr>
                    <w:spacing w:before="0" w:after="60"/>
                  </w:pPr>
                  <w:r>
                    <w:rPr>
                      <w:color w:val="C3C6D4"/>
                      <w:sz w:val="15"/>
                    </w:rPr>
                    <w:t>Hybrid, UK Offices | April 2022 - August 2023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Requirements to Architecture: Partnered with MOD stakeholders to translate business and security requirements into scalable Azure and Microsoft 365 solution architectures.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End-to-End Platform Design: Delivered IaaS and PaaS architectures covering networking, identity, security, and data services, including VNETs, NSGs, Entra ID, Key Vault, Synapse, and Data Factory.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Migration and Modernization: Advised on Azure migration and application modernization strategies for public sector programs, balancing reliability, security, and cost-performance outcomes.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Data Engineering Integration: Co-designed secure data ingestion and processing pipelines with data engineers, improving data quality, traceability, and operational visibility.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Performance and Reporting: Worked with analysts to define technical and business KPIs, enabling service monitoring and optimization through Power BI dashboards.</w:t>
                  </w:r>
                </w:p>
              </w:tc>
            </w:tr>
          </w:tbl>
          <w:p/>
          <w:p>
            <w:pPr>
              <w:spacing w:before="0" w:after="80"/>
            </w:pPr>
          </w:p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W w:w="5000" w:type="pct"/>
              <w:tblCellSpacing w:w="0" w:type="dxa"/>
              <w:tblInd w:w="0" w:type="dxa"/>
            </w:tblPr>
            <w:tblGrid>
              <w:gridCol w:w="5272"/>
            </w:tblGrid>
            <w:tr>
              <w:tc>
                <w:tcPr>
                  <w:tcW w:type="dxa" w:w="5272"/>
                  <w:shd w:fill="1C1B1B" w:val="clear"/>
                  <w:tcMar>
                    <w:top w:w="60" w:type="dxa"/>
                    <w:bottom w:w="60" w:type="dxa"/>
                    <w:start w:w="80" w:type="dxa"/>
                    <w:end w:w="40" w:type="dxa"/>
                  </w:tcMar>
                  <w:tcBorders>
                    <w:top w:val="single" w:sz="4" w:color="434652" w:space="0"/>
                  </w:tcBorders>
                </w:tcPr>
                <w:p>
                  <w:pPr>
                    <w:spacing w:after="20"/>
                  </w:pPr>
                  <w:r>
                    <w:rPr>
                      <w:b/>
                      <w:color w:val="E5E2E1"/>
                      <w:sz w:val="20"/>
                    </w:rPr>
                    <w:t>Senior Test Engineer - SC Cleared</w:t>
                  </w:r>
                </w:p>
                <w:p>
                  <w:pPr>
                    <w:spacing w:before="0" w:after="0"/>
                  </w:pPr>
                  <w:r>
                    <w:rPr>
                      <w:b/>
                      <w:color w:val="00DAF3"/>
                      <w:sz w:val="17"/>
                    </w:rPr>
                    <w:t>Abaco</w:t>
                  </w:r>
                </w:p>
                <w:p>
                  <w:pPr>
                    <w:spacing w:before="0" w:after="60"/>
                  </w:pPr>
                  <w:r>
                    <w:rPr>
                      <w:color w:val="C3C6D4"/>
                      <w:sz w:val="15"/>
                    </w:rPr>
                    <w:t>On-Site, Towcester | September 2011 - April 2022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Led a team of 7 test engineers, ensuring timely and accurate product testing while maintaining high quality standards.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Collaborated with IT to design and implement secure data solutions, safeguarding sensitive information and ensuring compliance with industry regulations.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Collaborated with other engineering departments to identify and resolve a critical machine performance bottleneck, resulting in a 200% increase in production line speed and throughput.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Revamped testing methodologies and equipment, leading to a 100% increase in product throughput throughout the department.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Mentored junior team members on product intricacies and best practice testing techniques, fostering a high-performance team culture.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Streamlined procedures and workflows, reducing production cycle times by 70% and enhancing overall product delivery.</w:t>
                  </w:r>
                </w:p>
                <w:p>
                  <w:pPr>
                    <w:spacing w:before="0" w:after="20"/>
                  </w:pPr>
                  <w:r>
                    <w:rPr>
                      <w:color w:val="00DAF3"/>
                      <w:sz w:val="15"/>
                    </w:rPr>
                    <w:t xml:space="preserve">–  </w:t>
                  </w:r>
                  <w:r>
                    <w:rPr>
                      <w:color w:val="C3C6D4"/>
                      <w:sz w:val="15"/>
                    </w:rPr>
                    <w:t>Gained exposure to cloud-based testing environments and tools while collaborating with other departments, sparking an interest in cloud technologies and their potential for scalability and efficiency.</w:t>
                  </w:r>
                </w:p>
              </w:tc>
            </w:tr>
          </w:tbl>
          <w:p/>
          <w:p>
            <w:pPr>
              <w:spacing w:before="0" w:after="80"/>
            </w:pPr>
          </w:p>
        </w:tc>
      </w:tr>
    </w:tbl>
    <w:p>
      <w:pPr>
        <w:spacing w:before="80" w:after="80"/>
      </w:pP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72"/>
        <w:gridCol w:w="5272"/>
      </w:tblGrid>
      <w:tr>
        <w:tc>
          <w:tcPr>
            <w:tcW w:type="dxa" w:w="5272"/>
            <w:shd w:fill="171B24" w:val="clear"/>
            <w:tcMar>
              <w:top w:w="60" w:type="dxa"/>
              <w:bottom w:w="60" w:type="dxa"/>
              <w:start w:w="100" w:type="dxa"/>
              <w:end w:w="100" w:type="dxa"/>
            </w:tcMar>
            <w:vAlign w:val="center"/>
          </w:tcPr>
          <w:p>
            <w:r>
              <w:rPr>
                <w:color w:val="C3C6D4"/>
                <w:sz w:val="15"/>
              </w:rPr>
              <w:t>Tech Man Dan | Azure Solution Architect / Consultant</w:t>
            </w:r>
          </w:p>
        </w:tc>
        <w:tc>
          <w:tcPr>
            <w:tcW w:type="dxa" w:w="5272"/>
            <w:shd w:fill="171B24" w:val="clear"/>
            <w:tcMar>
              <w:top w:w="60" w:type="dxa"/>
              <w:bottom w:w="60" w:type="dxa"/>
              <w:start w:w="100" w:type="dxa"/>
              <w:end w:w="100" w:type="dxa"/>
            </w:tcMar>
            <w:vAlign w:val="center"/>
          </w:tcPr>
          <w:p>
            <w:pPr>
              <w:jc w:val="right"/>
            </w:pPr>
            <w:r>
              <w:rPr>
                <w:color w:val="C3C6D4"/>
                <w:sz w:val="15"/>
              </w:rPr>
              <w:t>Page 1</w:t>
            </w:r>
          </w:p>
        </w:tc>
      </w:tr>
    </w:tbl>
    <w:sectPr w:rsidR="00FC693F" w:rsidRPr="0006063C" w:rsidSect="00034616">
      <w:pgSz w:w="11906" w:h="16838"/>
      <w:pgMar w:top="794" w:right="567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Calibri" w:hAnsi="Calibri"/>
      <w:color w:val="E5E2E1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dan.inman@hotmail.co.uk" TargetMode="External"/><Relationship Id="rId10" Type="http://schemas.openxmlformats.org/officeDocument/2006/relationships/hyperlink" Target="https://www.linkedin.com/in/tech-man-dan" TargetMode="External"/><Relationship Id="rId11" Type="http://schemas.openxmlformats.org/officeDocument/2006/relationships/image" Target="media/image1.jp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